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16" w:rsidRPr="00F21916" w:rsidRDefault="00F21916" w:rsidP="00F21916">
      <w:pPr>
        <w:rPr>
          <w:sz w:val="32"/>
          <w:szCs w:val="32"/>
        </w:rPr>
      </w:pPr>
    </w:p>
    <w:p w:rsidR="00F21916" w:rsidRPr="00236BE9" w:rsidRDefault="00F21916" w:rsidP="00236BE9">
      <w:pPr>
        <w:pStyle w:val="Heading1"/>
        <w:rPr>
          <w:b/>
          <w:sz w:val="52"/>
          <w:szCs w:val="52"/>
        </w:rPr>
      </w:pPr>
      <w:r w:rsidRPr="00236BE9">
        <w:rPr>
          <w:b/>
          <w:sz w:val="52"/>
          <w:szCs w:val="52"/>
        </w:rPr>
        <w:t xml:space="preserve">ICDS An introduction 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The Central Gov</w:t>
      </w:r>
      <w:r w:rsidRPr="00F21916">
        <w:rPr>
          <w:color w:val="333333"/>
          <w:sz w:val="32"/>
          <w:szCs w:val="32"/>
        </w:rPr>
        <w:t xml:space="preserve">ernment has notified the Income </w:t>
      </w:r>
      <w:r w:rsidRPr="00F21916">
        <w:rPr>
          <w:color w:val="333333"/>
          <w:sz w:val="32"/>
          <w:szCs w:val="32"/>
        </w:rPr>
        <w:t>Computati</w:t>
      </w:r>
      <w:r w:rsidRPr="00F21916">
        <w:rPr>
          <w:color w:val="333333"/>
          <w:sz w:val="32"/>
          <w:szCs w:val="32"/>
        </w:rPr>
        <w:t xml:space="preserve">on and Disclosure Standard wide </w:t>
      </w:r>
      <w:r w:rsidRPr="00F21916">
        <w:rPr>
          <w:color w:val="333333"/>
          <w:sz w:val="32"/>
          <w:szCs w:val="32"/>
        </w:rPr>
        <w:t xml:space="preserve">notification. </w:t>
      </w:r>
      <w:r w:rsidRPr="00F21916">
        <w:rPr>
          <w:color w:val="333333"/>
          <w:sz w:val="32"/>
          <w:szCs w:val="32"/>
        </w:rPr>
        <w:t xml:space="preserve">It is further states that these </w:t>
      </w:r>
      <w:r w:rsidRPr="00F21916">
        <w:rPr>
          <w:color w:val="333333"/>
          <w:sz w:val="32"/>
          <w:szCs w:val="32"/>
        </w:rPr>
        <w:t>standards ar</w:t>
      </w:r>
      <w:r w:rsidRPr="00F21916">
        <w:rPr>
          <w:color w:val="333333"/>
          <w:sz w:val="32"/>
          <w:szCs w:val="32"/>
        </w:rPr>
        <w:t xml:space="preserve">e required to be followed while </w:t>
      </w:r>
      <w:r w:rsidRPr="00F21916">
        <w:rPr>
          <w:color w:val="333333"/>
          <w:sz w:val="32"/>
          <w:szCs w:val="32"/>
        </w:rPr>
        <w:t>computing inc</w:t>
      </w:r>
      <w:r w:rsidRPr="00F21916">
        <w:rPr>
          <w:color w:val="333333"/>
          <w:sz w:val="32"/>
          <w:szCs w:val="32"/>
        </w:rPr>
        <w:t>ome under the heads “Profit and</w:t>
      </w:r>
      <w:r w:rsidR="005513AA">
        <w:rPr>
          <w:color w:val="333333"/>
          <w:sz w:val="32"/>
          <w:szCs w:val="32"/>
        </w:rPr>
        <w:t xml:space="preserve"> </w:t>
      </w:r>
      <w:r w:rsidRPr="00F21916">
        <w:rPr>
          <w:color w:val="333333"/>
          <w:sz w:val="32"/>
          <w:szCs w:val="32"/>
        </w:rPr>
        <w:t>Gain from Business or Professio</w:t>
      </w:r>
      <w:r w:rsidRPr="00F21916">
        <w:rPr>
          <w:color w:val="333333"/>
          <w:sz w:val="32"/>
          <w:szCs w:val="32"/>
        </w:rPr>
        <w:t xml:space="preserve">n” or “Income </w:t>
      </w:r>
      <w:r w:rsidRPr="00F21916">
        <w:rPr>
          <w:color w:val="333333"/>
          <w:sz w:val="32"/>
          <w:szCs w:val="32"/>
        </w:rPr>
        <w:t>from other source</w:t>
      </w:r>
      <w:r>
        <w:rPr>
          <w:color w:val="333333"/>
          <w:sz w:val="32"/>
          <w:szCs w:val="32"/>
        </w:rPr>
        <w:t xml:space="preserve">s”. This notification will come </w:t>
      </w:r>
      <w:r w:rsidRPr="00F21916">
        <w:rPr>
          <w:color w:val="333333"/>
          <w:sz w:val="32"/>
          <w:szCs w:val="32"/>
        </w:rPr>
        <w:t>into force with ef</w:t>
      </w:r>
      <w:r>
        <w:rPr>
          <w:color w:val="333333"/>
          <w:sz w:val="32"/>
          <w:szCs w:val="32"/>
        </w:rPr>
        <w:t>fect from 1st Day of April</w:t>
      </w:r>
      <w:proofErr w:type="gramStart"/>
      <w:r>
        <w:rPr>
          <w:color w:val="333333"/>
          <w:sz w:val="32"/>
          <w:szCs w:val="32"/>
        </w:rPr>
        <w:t>,2015</w:t>
      </w:r>
      <w:proofErr w:type="gramEnd"/>
      <w:r w:rsidR="005513AA">
        <w:rPr>
          <w:color w:val="333333"/>
          <w:sz w:val="32"/>
          <w:szCs w:val="32"/>
        </w:rPr>
        <w:t xml:space="preserve"> </w:t>
      </w:r>
      <w:r w:rsidRPr="00F21916">
        <w:rPr>
          <w:color w:val="333333"/>
          <w:sz w:val="32"/>
          <w:szCs w:val="32"/>
        </w:rPr>
        <w:t xml:space="preserve">and shall accordingly apply to </w:t>
      </w:r>
      <w:r>
        <w:rPr>
          <w:color w:val="333333"/>
          <w:sz w:val="32"/>
          <w:szCs w:val="32"/>
        </w:rPr>
        <w:t xml:space="preserve"> the Assessment Year 2016-17 </w:t>
      </w:r>
      <w:r w:rsidRPr="00F21916">
        <w:rPr>
          <w:color w:val="333333"/>
          <w:sz w:val="32"/>
          <w:szCs w:val="32"/>
        </w:rPr>
        <w:t>and subsequent years.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Applicability: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The standards will apply while calculating Income under head Pr</w:t>
      </w:r>
      <w:r>
        <w:rPr>
          <w:color w:val="333333"/>
          <w:sz w:val="32"/>
          <w:szCs w:val="32"/>
        </w:rPr>
        <w:t xml:space="preserve">ofit and Gains from Business or Profession or Income from Other </w:t>
      </w:r>
      <w:r w:rsidRPr="00F21916">
        <w:rPr>
          <w:color w:val="333333"/>
          <w:sz w:val="32"/>
          <w:szCs w:val="32"/>
        </w:rPr>
        <w:t>Sources. These standards ne</w:t>
      </w:r>
      <w:r>
        <w:rPr>
          <w:color w:val="333333"/>
          <w:sz w:val="32"/>
          <w:szCs w:val="32"/>
        </w:rPr>
        <w:t xml:space="preserve">ed to apply only where </w:t>
      </w:r>
      <w:proofErr w:type="spellStart"/>
      <w:proofErr w:type="gramStart"/>
      <w:r>
        <w:rPr>
          <w:color w:val="333333"/>
          <w:sz w:val="32"/>
          <w:szCs w:val="32"/>
        </w:rPr>
        <w:t>assessee</w:t>
      </w:r>
      <w:proofErr w:type="spellEnd"/>
      <w:r>
        <w:rPr>
          <w:color w:val="333333"/>
          <w:sz w:val="32"/>
          <w:szCs w:val="32"/>
        </w:rPr>
        <w:t xml:space="preserve">  is</w:t>
      </w:r>
      <w:proofErr w:type="gramEnd"/>
      <w:r>
        <w:rPr>
          <w:color w:val="333333"/>
          <w:sz w:val="32"/>
          <w:szCs w:val="32"/>
        </w:rPr>
        <w:t xml:space="preserve"> </w:t>
      </w:r>
      <w:r w:rsidRPr="00F21916">
        <w:rPr>
          <w:color w:val="333333"/>
          <w:sz w:val="32"/>
          <w:szCs w:val="32"/>
        </w:rPr>
        <w:t>following Mercantile System of Accounting.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From the above we can conclude that: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 xml:space="preserve">a. These standards need to apply only when an </w:t>
      </w:r>
      <w:proofErr w:type="spellStart"/>
      <w:r w:rsidRPr="00F21916">
        <w:rPr>
          <w:color w:val="333333"/>
          <w:sz w:val="32"/>
          <w:szCs w:val="32"/>
        </w:rPr>
        <w:t>assesse</w:t>
      </w:r>
      <w:r>
        <w:rPr>
          <w:color w:val="333333"/>
          <w:sz w:val="32"/>
          <w:szCs w:val="32"/>
        </w:rPr>
        <w:t>e</w:t>
      </w:r>
      <w:proofErr w:type="spellEnd"/>
      <w:r>
        <w:rPr>
          <w:color w:val="333333"/>
          <w:sz w:val="32"/>
          <w:szCs w:val="32"/>
        </w:rPr>
        <w:t xml:space="preserve"> i</w:t>
      </w:r>
      <w:r w:rsidRPr="00F21916">
        <w:rPr>
          <w:color w:val="333333"/>
          <w:sz w:val="32"/>
          <w:szCs w:val="32"/>
        </w:rPr>
        <w:t>s following Mercantile System of Accounting.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b. These standards need not to apply where “No books of account kept”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c. These Standards need to apply from Assessment Year 2016</w:t>
      </w:r>
      <w:r>
        <w:rPr>
          <w:color w:val="333333"/>
          <w:sz w:val="32"/>
          <w:szCs w:val="32"/>
        </w:rPr>
        <w:t>-</w:t>
      </w:r>
      <w:r w:rsidRPr="00F21916">
        <w:rPr>
          <w:color w:val="333333"/>
          <w:sz w:val="32"/>
          <w:szCs w:val="32"/>
        </w:rPr>
        <w:t>17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gramStart"/>
      <w:r w:rsidRPr="00F21916">
        <w:rPr>
          <w:color w:val="333333"/>
          <w:sz w:val="32"/>
          <w:szCs w:val="32"/>
        </w:rPr>
        <w:t>and</w:t>
      </w:r>
      <w:proofErr w:type="gramEnd"/>
      <w:r w:rsidRPr="00F21916">
        <w:rPr>
          <w:color w:val="333333"/>
          <w:sz w:val="32"/>
          <w:szCs w:val="32"/>
        </w:rPr>
        <w:t xml:space="preserve"> onwards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d. These Standards will to be followed only when Income is t</w:t>
      </w:r>
      <w:r>
        <w:rPr>
          <w:color w:val="333333"/>
          <w:sz w:val="32"/>
          <w:szCs w:val="32"/>
        </w:rPr>
        <w:t xml:space="preserve">o be computed under the Head of </w:t>
      </w:r>
      <w:r w:rsidRPr="00F21916">
        <w:rPr>
          <w:color w:val="333333"/>
          <w:sz w:val="32"/>
          <w:szCs w:val="32"/>
        </w:rPr>
        <w:t>“Profit and Gains from Business or Profession” or “Income from Other Sources”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 xml:space="preserve">It seems that now whoever is filing return of income of any </w:t>
      </w:r>
      <w:proofErr w:type="spellStart"/>
      <w:r w:rsidRPr="00F21916">
        <w:rPr>
          <w:color w:val="333333"/>
          <w:sz w:val="32"/>
          <w:szCs w:val="32"/>
        </w:rPr>
        <w:t>assesse</w:t>
      </w:r>
      <w:r>
        <w:rPr>
          <w:color w:val="333333"/>
          <w:sz w:val="32"/>
          <w:szCs w:val="32"/>
        </w:rPr>
        <w:t>e</w:t>
      </w:r>
      <w:proofErr w:type="spellEnd"/>
      <w:r>
        <w:rPr>
          <w:color w:val="333333"/>
          <w:sz w:val="32"/>
          <w:szCs w:val="32"/>
        </w:rPr>
        <w:t xml:space="preserve"> who is required to keep books </w:t>
      </w:r>
      <w:r w:rsidRPr="00F21916">
        <w:rPr>
          <w:color w:val="333333"/>
          <w:sz w:val="32"/>
          <w:szCs w:val="32"/>
        </w:rPr>
        <w:t>of accounts under mercantile system of book keeping, he/she need to apply this standards while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gramStart"/>
      <w:r w:rsidRPr="00F21916">
        <w:rPr>
          <w:color w:val="333333"/>
          <w:sz w:val="32"/>
          <w:szCs w:val="32"/>
        </w:rPr>
        <w:lastRenderedPageBreak/>
        <w:t>computing</w:t>
      </w:r>
      <w:proofErr w:type="gramEnd"/>
      <w:r w:rsidRPr="00F21916">
        <w:rPr>
          <w:color w:val="333333"/>
          <w:sz w:val="32"/>
          <w:szCs w:val="32"/>
        </w:rPr>
        <w:t xml:space="preserve"> Income which is chargeable under Profit and Gains</w:t>
      </w:r>
      <w:r>
        <w:rPr>
          <w:color w:val="333333"/>
          <w:sz w:val="32"/>
          <w:szCs w:val="32"/>
        </w:rPr>
        <w:t xml:space="preserve"> from Business or Profession or </w:t>
      </w:r>
      <w:r w:rsidRPr="00F21916">
        <w:rPr>
          <w:color w:val="333333"/>
          <w:sz w:val="32"/>
          <w:szCs w:val="32"/>
        </w:rPr>
        <w:t>Income from Other Sources. It also seems that Income Tax Dep</w:t>
      </w:r>
      <w:r>
        <w:rPr>
          <w:color w:val="333333"/>
          <w:sz w:val="32"/>
          <w:szCs w:val="32"/>
        </w:rPr>
        <w:t xml:space="preserve">artment will upgrade the return </w:t>
      </w:r>
      <w:r w:rsidRPr="00F21916">
        <w:rPr>
          <w:color w:val="333333"/>
          <w:sz w:val="32"/>
          <w:szCs w:val="32"/>
        </w:rPr>
        <w:t>forms and might include the requirement of this standard in future.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List of ICDS:</w:t>
      </w:r>
    </w:p>
    <w:p w:rsidR="00F21916" w:rsidRPr="00F21916" w:rsidRDefault="00F21916" w:rsidP="00F21916">
      <w:pPr>
        <w:rPr>
          <w:rFonts w:cs="Arial"/>
          <w:color w:val="000000"/>
          <w:sz w:val="32"/>
          <w:szCs w:val="32"/>
        </w:rPr>
      </w:pPr>
    </w:p>
    <w:p w:rsid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Following is the list of ICDS which are notified by the Central Government.</w:t>
      </w:r>
    </w:p>
    <w:tbl>
      <w:tblPr>
        <w:tblStyle w:val="TableGrid"/>
        <w:tblW w:w="10219" w:type="dxa"/>
        <w:tblLayout w:type="fixed"/>
        <w:tblLook w:val="04A0" w:firstRow="1" w:lastRow="0" w:firstColumn="1" w:lastColumn="0" w:noHBand="0" w:noVBand="1"/>
      </w:tblPr>
      <w:tblGrid>
        <w:gridCol w:w="1425"/>
        <w:gridCol w:w="1466"/>
        <w:gridCol w:w="5670"/>
        <w:gridCol w:w="1658"/>
      </w:tblGrid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proofErr w:type="spellStart"/>
            <w:r>
              <w:rPr>
                <w:color w:val="333333"/>
                <w:sz w:val="32"/>
                <w:szCs w:val="32"/>
              </w:rPr>
              <w:t>Sr.</w:t>
            </w:r>
            <w:r w:rsidRPr="00D06D8B">
              <w:rPr>
                <w:color w:val="333333"/>
                <w:sz w:val="32"/>
                <w:szCs w:val="32"/>
              </w:rPr>
              <w:t>No</w:t>
            </w:r>
            <w:proofErr w:type="spellEnd"/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Number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Description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Look like AS issued by</w:t>
            </w:r>
            <w:r>
              <w:rPr>
                <w:color w:val="333333"/>
                <w:sz w:val="32"/>
                <w:szCs w:val="32"/>
              </w:rPr>
              <w:t xml:space="preserve"> ICAI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Accounting Policies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B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Valuation of Inventories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2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C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Construction Contracts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7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D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 xml:space="preserve">Revenue Recognition 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9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E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Tangible Fixed Assets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10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F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Effects of Changes in Foreign Exchange Rates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11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G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Government Grants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12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H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Securities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13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I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Borrowing Costs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AS 16</w:t>
            </w:r>
          </w:p>
        </w:tc>
      </w:tr>
      <w:tr w:rsidR="00D06D8B" w:rsidRPr="00D06D8B" w:rsidTr="00D06D8B">
        <w:tc>
          <w:tcPr>
            <w:tcW w:w="1425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J</w:t>
            </w:r>
          </w:p>
        </w:tc>
        <w:tc>
          <w:tcPr>
            <w:tcW w:w="1466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 w:rsidRPr="00D06D8B">
              <w:rPr>
                <w:color w:val="333333"/>
                <w:sz w:val="32"/>
                <w:szCs w:val="32"/>
              </w:rPr>
              <w:t>Provisions</w:t>
            </w:r>
            <w:r>
              <w:rPr>
                <w:color w:val="333333"/>
                <w:sz w:val="32"/>
                <w:szCs w:val="32"/>
              </w:rPr>
              <w:t xml:space="preserve"> </w:t>
            </w:r>
            <w:r w:rsidRPr="00D06D8B">
              <w:rPr>
                <w:color w:val="333333"/>
                <w:sz w:val="32"/>
                <w:szCs w:val="32"/>
              </w:rPr>
              <w:t>Contingent Liabilities and Contingent</w:t>
            </w:r>
            <w:r>
              <w:rPr>
                <w:color w:val="333333"/>
                <w:sz w:val="32"/>
                <w:szCs w:val="32"/>
              </w:rPr>
              <w:t xml:space="preserve"> Assets</w:t>
            </w:r>
          </w:p>
        </w:tc>
        <w:tc>
          <w:tcPr>
            <w:tcW w:w="1658" w:type="dxa"/>
          </w:tcPr>
          <w:p w:rsidR="00D06D8B" w:rsidRPr="00D06D8B" w:rsidRDefault="00D06D8B" w:rsidP="00034A66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AS 29</w:t>
            </w:r>
          </w:p>
        </w:tc>
      </w:tr>
    </w:tbl>
    <w:p w:rsidR="00D06D8B" w:rsidRPr="00D06D8B" w:rsidRDefault="00D06D8B" w:rsidP="00F21916">
      <w:pPr>
        <w:rPr>
          <w:color w:val="333333"/>
          <w:sz w:val="32"/>
          <w:szCs w:val="32"/>
          <w:u w:val="single"/>
        </w:rPr>
      </w:pP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While reading the standards, it gives us the impression that this seems to be in line with or</w:t>
      </w:r>
      <w:r w:rsidR="001A3AE5">
        <w:rPr>
          <w:color w:val="333333"/>
          <w:sz w:val="32"/>
          <w:szCs w:val="32"/>
        </w:rPr>
        <w:t xml:space="preserve"> </w:t>
      </w:r>
      <w:r w:rsidRPr="00F21916">
        <w:rPr>
          <w:color w:val="333333"/>
          <w:sz w:val="32"/>
          <w:szCs w:val="32"/>
        </w:rPr>
        <w:t xml:space="preserve">Accounting Standards which are issued by Institute of Chartered Accountants of </w:t>
      </w:r>
      <w:proofErr w:type="gramStart"/>
      <w:r w:rsidRPr="00F21916">
        <w:rPr>
          <w:color w:val="333333"/>
          <w:sz w:val="32"/>
          <w:szCs w:val="32"/>
        </w:rPr>
        <w:t>India(</w:t>
      </w:r>
      <w:proofErr w:type="gramEnd"/>
      <w:r w:rsidRPr="00F21916">
        <w:rPr>
          <w:color w:val="333333"/>
          <w:sz w:val="32"/>
          <w:szCs w:val="32"/>
        </w:rPr>
        <w:t>ICAI).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In this article I have tried to summarise some important points regarding following two standards: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1. Accounting Policies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lastRenderedPageBreak/>
        <w:t>2. Valuation of Inventories.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1. Accounting Policies: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Major Points to be considered under this standard: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a. Deals with Disclosure of Significant Accounting Policies.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b. Specifies following three Fundamental Accounting Assumptions”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>. Going Concern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ii. Consistency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iii. Accrual.</w:t>
      </w:r>
    </w:p>
    <w:p w:rsidR="00F21916" w:rsidRPr="00F21916" w:rsidRDefault="00A444DD" w:rsidP="00F21916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c. The standard</w:t>
      </w:r>
      <w:r w:rsidR="00F21916" w:rsidRPr="00F21916">
        <w:rPr>
          <w:color w:val="333333"/>
          <w:sz w:val="32"/>
          <w:szCs w:val="32"/>
        </w:rPr>
        <w:t xml:space="preserve"> mentions what is the meaning of </w:t>
      </w:r>
      <w:proofErr w:type="gramStart"/>
      <w:r w:rsidR="00F21916" w:rsidRPr="00F21916">
        <w:rPr>
          <w:color w:val="333333"/>
          <w:sz w:val="32"/>
          <w:szCs w:val="32"/>
        </w:rPr>
        <w:t>Going</w:t>
      </w:r>
      <w:proofErr w:type="gramEnd"/>
      <w:r w:rsidR="00F21916" w:rsidRPr="00F21916">
        <w:rPr>
          <w:color w:val="333333"/>
          <w:sz w:val="32"/>
          <w:szCs w:val="32"/>
        </w:rPr>
        <w:t xml:space="preserve"> concern, Consistency and also of accrual.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d. Accounting Policy has also been defined. As per this standard Accounting Policy refers to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Accounting Principles and Methods of applying those principles adopted by a person.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e. This standard also specifies that Accounting policies which ar</w:t>
      </w:r>
      <w:r w:rsidR="00A444DD">
        <w:rPr>
          <w:color w:val="333333"/>
          <w:sz w:val="32"/>
          <w:szCs w:val="32"/>
        </w:rPr>
        <w:t xml:space="preserve">e adopted by a person should be </w:t>
      </w:r>
      <w:r w:rsidRPr="00F21916">
        <w:rPr>
          <w:color w:val="333333"/>
          <w:sz w:val="32"/>
          <w:szCs w:val="32"/>
        </w:rPr>
        <w:t>such that it should represents “True and Fair View” of “State of Affairs” and also “Income”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f. Accounting policy should not be changed without any reasonable cause.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g. As this is a “Disclosure Standard”, it requires that a person should disclose all significant policies</w:t>
      </w:r>
      <w:r w:rsidR="00A444DD">
        <w:rPr>
          <w:color w:val="333333"/>
          <w:sz w:val="32"/>
          <w:szCs w:val="32"/>
        </w:rPr>
        <w:t xml:space="preserve"> </w:t>
      </w:r>
      <w:r w:rsidRPr="00F21916">
        <w:rPr>
          <w:color w:val="333333"/>
          <w:sz w:val="32"/>
          <w:szCs w:val="32"/>
        </w:rPr>
        <w:t>which are adopted in computation of income which ultimately represents “True and Fair “view.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 xml:space="preserve">h. A policy if changed during the year if due to such change there is </w:t>
      </w:r>
      <w:r w:rsidR="00A444DD">
        <w:rPr>
          <w:color w:val="333333"/>
          <w:sz w:val="32"/>
          <w:szCs w:val="32"/>
        </w:rPr>
        <w:t xml:space="preserve">any material effect that should </w:t>
      </w:r>
      <w:r w:rsidRPr="00F21916">
        <w:rPr>
          <w:color w:val="333333"/>
          <w:sz w:val="32"/>
          <w:szCs w:val="32"/>
        </w:rPr>
        <w:t>be disclosed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>. If such change has no material effect in current period but if in later period</w:t>
      </w:r>
      <w:r w:rsidR="00A444DD">
        <w:rPr>
          <w:color w:val="333333"/>
          <w:sz w:val="32"/>
          <w:szCs w:val="32"/>
        </w:rPr>
        <w:t xml:space="preserve">, then also such fact has </w:t>
      </w:r>
      <w:r w:rsidRPr="00F21916">
        <w:rPr>
          <w:color w:val="333333"/>
          <w:sz w:val="32"/>
          <w:szCs w:val="32"/>
        </w:rPr>
        <w:t>to be disclosed. Meaning there by if a policy changes does not mate</w:t>
      </w:r>
      <w:r w:rsidR="00A444DD">
        <w:rPr>
          <w:color w:val="333333"/>
          <w:sz w:val="32"/>
          <w:szCs w:val="32"/>
        </w:rPr>
        <w:t xml:space="preserve">rial effect in current previous </w:t>
      </w:r>
      <w:r w:rsidRPr="00F21916">
        <w:rPr>
          <w:color w:val="333333"/>
          <w:sz w:val="32"/>
          <w:szCs w:val="32"/>
        </w:rPr>
        <w:t xml:space="preserve">year but </w:t>
      </w:r>
      <w:r w:rsidRPr="00F21916">
        <w:rPr>
          <w:color w:val="333333"/>
          <w:sz w:val="32"/>
          <w:szCs w:val="32"/>
        </w:rPr>
        <w:lastRenderedPageBreak/>
        <w:t xml:space="preserve">if the same has effect in future previous year then the fact </w:t>
      </w:r>
      <w:r w:rsidR="00A444DD">
        <w:rPr>
          <w:color w:val="333333"/>
          <w:sz w:val="32"/>
          <w:szCs w:val="32"/>
        </w:rPr>
        <w:t xml:space="preserve">of such change shall be adopted </w:t>
      </w:r>
      <w:r w:rsidRPr="00F21916">
        <w:rPr>
          <w:color w:val="333333"/>
          <w:sz w:val="32"/>
          <w:szCs w:val="32"/>
        </w:rPr>
        <w:t>and to be appropriately disclosed.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j. If fundamental Accounting Assumptions are followed then there is n</w:t>
      </w:r>
      <w:r w:rsidR="00A444DD">
        <w:rPr>
          <w:color w:val="333333"/>
          <w:sz w:val="32"/>
          <w:szCs w:val="32"/>
        </w:rPr>
        <w:t xml:space="preserve">o requirement of its disclosure </w:t>
      </w:r>
      <w:r w:rsidRPr="00F21916">
        <w:rPr>
          <w:color w:val="333333"/>
          <w:sz w:val="32"/>
          <w:szCs w:val="32"/>
        </w:rPr>
        <w:t>but if it is not followed, disclosure is required to be made.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2. Valuation of Inventories.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Major Points to be considered under this standard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a. Deals with Valuation of Inventories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b. This standard does not applies to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>. WIP arising under Construction Contracts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ii. WIP dealt with by any other Standards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iii. Share, Debenture and other Financial Instruments which are dealt with by other Standard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c. Inventories to be valued at COST OR NET Realisable VALUE whichever is lower.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 xml:space="preserve">d. Cost of Inventories means addition </w:t>
      </w:r>
      <w:proofErr w:type="gramStart"/>
      <w:r w:rsidRPr="00F21916">
        <w:rPr>
          <w:color w:val="333333"/>
          <w:sz w:val="32"/>
          <w:szCs w:val="32"/>
        </w:rPr>
        <w:t>of :</w:t>
      </w:r>
      <w:proofErr w:type="gramEnd"/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>. Cost of Purchase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ii. Cost of Services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iii. Cost of Conversion AND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iv. Other Costs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e. Each component of cost has been further defined in the standard.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f. Cost of Purchase shall consist of Purchase price including dutie</w:t>
      </w:r>
      <w:r w:rsidR="00A444DD">
        <w:rPr>
          <w:color w:val="333333"/>
          <w:sz w:val="32"/>
          <w:szCs w:val="32"/>
        </w:rPr>
        <w:t xml:space="preserve">s and taxes, Freight Inward and </w:t>
      </w:r>
      <w:r w:rsidRPr="00F21916">
        <w:rPr>
          <w:color w:val="333333"/>
          <w:sz w:val="32"/>
          <w:szCs w:val="32"/>
        </w:rPr>
        <w:t>other directly attributable expenditure.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lastRenderedPageBreak/>
        <w:t>g. Cost of services in case of service provider shall consists of Labo</w:t>
      </w:r>
      <w:r w:rsidR="00A444DD">
        <w:rPr>
          <w:color w:val="333333"/>
          <w:sz w:val="32"/>
          <w:szCs w:val="32"/>
        </w:rPr>
        <w:t xml:space="preserve">ur and other costs of personnel </w:t>
      </w:r>
      <w:r w:rsidRPr="00F21916">
        <w:rPr>
          <w:color w:val="333333"/>
          <w:sz w:val="32"/>
          <w:szCs w:val="32"/>
        </w:rPr>
        <w:t xml:space="preserve">directly engaged in providing service including Supervisory personnel and attributable </w:t>
      </w:r>
      <w:proofErr w:type="spellStart"/>
      <w:r w:rsidRPr="00F21916">
        <w:rPr>
          <w:color w:val="333333"/>
          <w:sz w:val="32"/>
          <w:szCs w:val="32"/>
        </w:rPr>
        <w:t>Overhdeads</w:t>
      </w:r>
      <w:proofErr w:type="spellEnd"/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h. The costs of conversion of inventories shall include costs d</w:t>
      </w:r>
      <w:r w:rsidR="00A444DD">
        <w:rPr>
          <w:color w:val="333333"/>
          <w:sz w:val="32"/>
          <w:szCs w:val="32"/>
        </w:rPr>
        <w:t xml:space="preserve">irectly related to the units of </w:t>
      </w:r>
      <w:r w:rsidRPr="00F21916">
        <w:rPr>
          <w:color w:val="333333"/>
          <w:sz w:val="32"/>
          <w:szCs w:val="32"/>
        </w:rPr>
        <w:t>production and a systematic allocation of fixed and variable product</w:t>
      </w:r>
      <w:r w:rsidR="00A444DD">
        <w:rPr>
          <w:color w:val="333333"/>
          <w:sz w:val="32"/>
          <w:szCs w:val="32"/>
        </w:rPr>
        <w:t xml:space="preserve">ion overheads that are incurred </w:t>
      </w:r>
      <w:r w:rsidRPr="00F21916">
        <w:rPr>
          <w:color w:val="333333"/>
          <w:sz w:val="32"/>
          <w:szCs w:val="32"/>
        </w:rPr>
        <w:t>in converting materials into finished goods.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 xml:space="preserve">. The standard further states that Fixed Overheads should be </w:t>
      </w:r>
      <w:r w:rsidR="00A444DD">
        <w:rPr>
          <w:color w:val="333333"/>
          <w:sz w:val="32"/>
          <w:szCs w:val="32"/>
        </w:rPr>
        <w:t xml:space="preserve">allocated on Normal Capacity of </w:t>
      </w:r>
      <w:r w:rsidRPr="00F21916">
        <w:rPr>
          <w:color w:val="333333"/>
          <w:sz w:val="32"/>
          <w:szCs w:val="32"/>
        </w:rPr>
        <w:t>Production Facility.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j. Where a production process results in more than one product be</w:t>
      </w:r>
      <w:r w:rsidR="00A444DD">
        <w:rPr>
          <w:color w:val="333333"/>
          <w:sz w:val="32"/>
          <w:szCs w:val="32"/>
        </w:rPr>
        <w:t xml:space="preserve">ing produced simultaneously and </w:t>
      </w:r>
      <w:r w:rsidRPr="00F21916">
        <w:rPr>
          <w:color w:val="333333"/>
          <w:sz w:val="32"/>
          <w:szCs w:val="32"/>
        </w:rPr>
        <w:t>the costs of conversion of each product are not separately identifiable, the costs shall be allocat</w:t>
      </w:r>
      <w:r w:rsidR="00A444DD">
        <w:rPr>
          <w:color w:val="333333"/>
          <w:sz w:val="32"/>
          <w:szCs w:val="32"/>
        </w:rPr>
        <w:t xml:space="preserve">ed </w:t>
      </w:r>
      <w:r w:rsidRPr="00F21916">
        <w:rPr>
          <w:color w:val="333333"/>
          <w:sz w:val="32"/>
          <w:szCs w:val="32"/>
        </w:rPr>
        <w:t>between the products on a rational and consistent basis.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j. Only those costs are to be included in cost of Inventories whic</w:t>
      </w:r>
      <w:r w:rsidR="00A444DD">
        <w:rPr>
          <w:color w:val="333333"/>
          <w:sz w:val="32"/>
          <w:szCs w:val="32"/>
        </w:rPr>
        <w:t xml:space="preserve">h are necessary in bringing the </w:t>
      </w:r>
      <w:r w:rsidRPr="00F21916">
        <w:rPr>
          <w:color w:val="333333"/>
          <w:sz w:val="32"/>
          <w:szCs w:val="32"/>
        </w:rPr>
        <w:t>inventories in to its present location and condition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k. Certain costs are excluded from Cost like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>. Abnormal amounts of wasted material, labour and other production cost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ii. Administrative Overheads that do not contribution to bringi</w:t>
      </w:r>
      <w:r w:rsidR="00A444DD">
        <w:rPr>
          <w:color w:val="333333"/>
          <w:sz w:val="32"/>
          <w:szCs w:val="32"/>
        </w:rPr>
        <w:t xml:space="preserve">ng Inventories into its present </w:t>
      </w:r>
      <w:r w:rsidRPr="00F21916">
        <w:rPr>
          <w:color w:val="333333"/>
          <w:sz w:val="32"/>
          <w:szCs w:val="32"/>
        </w:rPr>
        <w:t>location and condition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iii. Selling costs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l. Cost of Inventories may be fixed by following formulae: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proofErr w:type="spellStart"/>
      <w:r w:rsidRPr="00F21916">
        <w:rPr>
          <w:color w:val="333333"/>
          <w:sz w:val="32"/>
          <w:szCs w:val="32"/>
        </w:rPr>
        <w:t>i</w:t>
      </w:r>
      <w:proofErr w:type="spellEnd"/>
      <w:r w:rsidRPr="00F21916">
        <w:rPr>
          <w:color w:val="333333"/>
          <w:sz w:val="32"/>
          <w:szCs w:val="32"/>
        </w:rPr>
        <w:t xml:space="preserve">. First IN First </w:t>
      </w:r>
      <w:proofErr w:type="gramStart"/>
      <w:r w:rsidRPr="00F21916">
        <w:rPr>
          <w:color w:val="333333"/>
          <w:sz w:val="32"/>
          <w:szCs w:val="32"/>
        </w:rPr>
        <w:t>Out</w:t>
      </w:r>
      <w:proofErr w:type="gramEnd"/>
      <w:r w:rsidRPr="00F21916">
        <w:rPr>
          <w:color w:val="333333"/>
          <w:sz w:val="32"/>
          <w:szCs w:val="32"/>
        </w:rPr>
        <w:t xml:space="preserve"> (FIF)</w:t>
      </w:r>
    </w:p>
    <w:p w:rsidR="00F21916" w:rsidRPr="00F21916" w:rsidRDefault="00F21916" w:rsidP="00F21916">
      <w:pPr>
        <w:rPr>
          <w:color w:val="333333"/>
          <w:sz w:val="32"/>
          <w:szCs w:val="32"/>
        </w:rPr>
      </w:pPr>
      <w:r w:rsidRPr="00F21916">
        <w:rPr>
          <w:color w:val="333333"/>
          <w:sz w:val="32"/>
          <w:szCs w:val="32"/>
        </w:rPr>
        <w:t>ii. Weighted Average Cost</w:t>
      </w:r>
    </w:p>
    <w:p w:rsidR="00F21916" w:rsidRDefault="00A444DD" w:rsidP="00F21916">
      <w:pPr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iii</w:t>
      </w:r>
      <w:proofErr w:type="gramEnd"/>
      <w:r>
        <w:rPr>
          <w:color w:val="333333"/>
          <w:sz w:val="32"/>
          <w:szCs w:val="32"/>
        </w:rPr>
        <w:t>. Specific Identification</w:t>
      </w:r>
    </w:p>
    <w:p w:rsidR="00F21916" w:rsidRPr="00A444DD" w:rsidRDefault="00F21916" w:rsidP="00F21916">
      <w:pPr>
        <w:rPr>
          <w:color w:val="333333"/>
          <w:sz w:val="32"/>
          <w:szCs w:val="32"/>
        </w:rPr>
      </w:pPr>
      <w:r w:rsidRPr="00A444DD">
        <w:rPr>
          <w:color w:val="333333"/>
          <w:sz w:val="32"/>
          <w:szCs w:val="32"/>
        </w:rPr>
        <w:t>m. Retail Method is to be used where it is not possible to use either</w:t>
      </w:r>
      <w:r w:rsidR="00236BE9">
        <w:rPr>
          <w:color w:val="333333"/>
          <w:sz w:val="32"/>
          <w:szCs w:val="32"/>
        </w:rPr>
        <w:t xml:space="preserve"> </w:t>
      </w:r>
      <w:proofErr w:type="spellStart"/>
      <w:proofErr w:type="gramStart"/>
      <w:r w:rsidR="00236BE9">
        <w:rPr>
          <w:color w:val="333333"/>
          <w:sz w:val="32"/>
          <w:szCs w:val="32"/>
        </w:rPr>
        <w:t>FIFo</w:t>
      </w:r>
      <w:proofErr w:type="spellEnd"/>
      <w:proofErr w:type="gramEnd"/>
      <w:r w:rsidR="00236BE9">
        <w:rPr>
          <w:color w:val="333333"/>
          <w:sz w:val="32"/>
          <w:szCs w:val="32"/>
        </w:rPr>
        <w:t xml:space="preserve"> or Weigh</w:t>
      </w:r>
      <w:r w:rsidR="00A444DD">
        <w:rPr>
          <w:color w:val="333333"/>
          <w:sz w:val="32"/>
          <w:szCs w:val="32"/>
        </w:rPr>
        <w:t xml:space="preserve">ted Average cost </w:t>
      </w:r>
      <w:r w:rsidRPr="00A444DD">
        <w:rPr>
          <w:color w:val="333333"/>
          <w:sz w:val="32"/>
          <w:szCs w:val="32"/>
        </w:rPr>
        <w:t>method.</w:t>
      </w:r>
      <w:bookmarkStart w:id="0" w:name="_GoBack"/>
      <w:bookmarkEnd w:id="0"/>
    </w:p>
    <w:p w:rsidR="00F21916" w:rsidRPr="00A444DD" w:rsidRDefault="00F21916" w:rsidP="00F21916">
      <w:pPr>
        <w:rPr>
          <w:color w:val="333333"/>
          <w:sz w:val="32"/>
          <w:szCs w:val="32"/>
        </w:rPr>
      </w:pPr>
      <w:r w:rsidRPr="00A444DD">
        <w:rPr>
          <w:color w:val="333333"/>
          <w:sz w:val="32"/>
          <w:szCs w:val="32"/>
        </w:rPr>
        <w:lastRenderedPageBreak/>
        <w:t>n. Also states how the value of opening inventory to be arrived</w:t>
      </w:r>
    </w:p>
    <w:p w:rsidR="00A444DD" w:rsidRDefault="00F21916" w:rsidP="00F21916">
      <w:pPr>
        <w:rPr>
          <w:color w:val="333333"/>
          <w:sz w:val="32"/>
          <w:szCs w:val="32"/>
        </w:rPr>
      </w:pPr>
      <w:r w:rsidRPr="00A444DD">
        <w:rPr>
          <w:color w:val="333333"/>
          <w:sz w:val="32"/>
          <w:szCs w:val="32"/>
        </w:rPr>
        <w:t xml:space="preserve">o. Method of </w:t>
      </w:r>
      <w:proofErr w:type="spellStart"/>
      <w:r w:rsidRPr="00A444DD">
        <w:rPr>
          <w:color w:val="333333"/>
          <w:sz w:val="32"/>
          <w:szCs w:val="32"/>
        </w:rPr>
        <w:t>Valuaton</w:t>
      </w:r>
      <w:proofErr w:type="spellEnd"/>
      <w:r w:rsidRPr="00A444DD">
        <w:rPr>
          <w:color w:val="333333"/>
          <w:sz w:val="32"/>
          <w:szCs w:val="32"/>
        </w:rPr>
        <w:t xml:space="preserve"> can’t be changed without any reasonable cause</w:t>
      </w:r>
    </w:p>
    <w:p w:rsidR="00F21916" w:rsidRPr="00A444DD" w:rsidRDefault="00F21916" w:rsidP="00F21916">
      <w:pPr>
        <w:rPr>
          <w:color w:val="333333"/>
          <w:sz w:val="32"/>
          <w:szCs w:val="32"/>
        </w:rPr>
      </w:pPr>
      <w:proofErr w:type="gramStart"/>
      <w:r w:rsidRPr="00A444DD">
        <w:rPr>
          <w:color w:val="333333"/>
          <w:sz w:val="32"/>
          <w:szCs w:val="32"/>
        </w:rPr>
        <w:t>p</w:t>
      </w:r>
      <w:proofErr w:type="gramEnd"/>
      <w:r w:rsidRPr="00A444DD">
        <w:rPr>
          <w:color w:val="333333"/>
          <w:sz w:val="32"/>
          <w:szCs w:val="32"/>
        </w:rPr>
        <w:t>. I</w:t>
      </w:r>
      <w:r w:rsidR="00A444DD">
        <w:rPr>
          <w:color w:val="333333"/>
          <w:sz w:val="32"/>
          <w:szCs w:val="32"/>
        </w:rPr>
        <w:t xml:space="preserve">n case of Dissolution of Firms, </w:t>
      </w:r>
      <w:r w:rsidRPr="00A444DD">
        <w:rPr>
          <w:color w:val="333333"/>
          <w:sz w:val="32"/>
          <w:szCs w:val="32"/>
        </w:rPr>
        <w:t>Inventories to be measured at NRV only</w:t>
      </w:r>
    </w:p>
    <w:p w:rsidR="00F21916" w:rsidRPr="00A444DD" w:rsidRDefault="00F21916" w:rsidP="00F21916">
      <w:pPr>
        <w:rPr>
          <w:color w:val="333333"/>
          <w:sz w:val="32"/>
          <w:szCs w:val="32"/>
        </w:rPr>
      </w:pPr>
      <w:r w:rsidRPr="00A444DD">
        <w:rPr>
          <w:color w:val="333333"/>
          <w:sz w:val="32"/>
          <w:szCs w:val="32"/>
        </w:rPr>
        <w:t>q. Disclosure is required to be made</w:t>
      </w:r>
    </w:p>
    <w:p w:rsidR="00F21916" w:rsidRPr="00A444DD" w:rsidRDefault="00A444DD" w:rsidP="00F21916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Accounting </w:t>
      </w:r>
      <w:r w:rsidR="00F21916" w:rsidRPr="00A444DD">
        <w:rPr>
          <w:color w:val="333333"/>
          <w:sz w:val="32"/>
          <w:szCs w:val="32"/>
        </w:rPr>
        <w:t xml:space="preserve">Policy adopted in measuring </w:t>
      </w:r>
      <w:proofErr w:type="gramStart"/>
      <w:r w:rsidR="00F21916" w:rsidRPr="00A444DD">
        <w:rPr>
          <w:color w:val="333333"/>
          <w:sz w:val="32"/>
          <w:szCs w:val="32"/>
        </w:rPr>
        <w:t>inventories(</w:t>
      </w:r>
      <w:proofErr w:type="gramEnd"/>
      <w:r w:rsidR="00F21916" w:rsidRPr="00A444DD">
        <w:rPr>
          <w:color w:val="333333"/>
          <w:sz w:val="32"/>
          <w:szCs w:val="32"/>
        </w:rPr>
        <w:t>include cost formula)</w:t>
      </w:r>
    </w:p>
    <w:p w:rsidR="00F21916" w:rsidRDefault="00A444DD" w:rsidP="00F21916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Carrying </w:t>
      </w:r>
      <w:r w:rsidR="00F21916" w:rsidRPr="00A444DD">
        <w:rPr>
          <w:color w:val="333333"/>
          <w:sz w:val="32"/>
          <w:szCs w:val="32"/>
        </w:rPr>
        <w:t>amount with its classification.</w:t>
      </w:r>
    </w:p>
    <w:p w:rsidR="007C0594" w:rsidRPr="00A444DD" w:rsidRDefault="007C0594" w:rsidP="00F21916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SOURCE COURTESY</w:t>
      </w:r>
      <w:proofErr w:type="gramStart"/>
      <w:r>
        <w:rPr>
          <w:color w:val="333333"/>
          <w:sz w:val="32"/>
          <w:szCs w:val="32"/>
        </w:rPr>
        <w:t>:caclubindia.com</w:t>
      </w:r>
      <w:proofErr w:type="gramEnd"/>
    </w:p>
    <w:sectPr w:rsidR="007C0594" w:rsidRPr="00A4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6"/>
    <w:rsid w:val="00161771"/>
    <w:rsid w:val="001A3AE5"/>
    <w:rsid w:val="00236BE9"/>
    <w:rsid w:val="005513AA"/>
    <w:rsid w:val="007C0594"/>
    <w:rsid w:val="0085381E"/>
    <w:rsid w:val="008A0C8D"/>
    <w:rsid w:val="00A444DD"/>
    <w:rsid w:val="00D06D8B"/>
    <w:rsid w:val="00DE51F5"/>
    <w:rsid w:val="00F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7577-B821-4298-9A5A-7467453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K Narayanan</dc:creator>
  <cp:keywords/>
  <dc:description/>
  <cp:lastModifiedBy>Krishnan K Narayanan</cp:lastModifiedBy>
  <cp:revision>7</cp:revision>
  <dcterms:created xsi:type="dcterms:W3CDTF">2015-04-26T13:37:00Z</dcterms:created>
  <dcterms:modified xsi:type="dcterms:W3CDTF">2015-04-26T15:11:00Z</dcterms:modified>
</cp:coreProperties>
</file>